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2" w:rsidRDefault="00194EE2">
      <w:bookmarkStart w:id="0" w:name="_GoBack"/>
      <w:bookmarkEnd w:id="0"/>
    </w:p>
    <w:p w:rsidR="00A35CD7" w:rsidRPr="00506B07" w:rsidRDefault="00A35CD7" w:rsidP="00B76DE1">
      <w:pPr>
        <w:spacing w:before="240" w:after="240" w:line="360" w:lineRule="auto"/>
        <w:jc w:val="right"/>
        <w:rPr>
          <w:rFonts w:ascii="Palatino Linotype" w:hAnsi="Palatino Linotype"/>
          <w:b/>
        </w:rPr>
      </w:pPr>
      <w:r>
        <w:rPr>
          <w:rFonts w:ascii="Palatino Linotype" w:hAnsi="Palatino Linotype"/>
          <w:b/>
        </w:rPr>
        <w:t>Metepec, México,</w:t>
      </w:r>
      <w:r w:rsidR="009A448E">
        <w:rPr>
          <w:rFonts w:ascii="Palatino Linotype" w:hAnsi="Palatino Linotype"/>
          <w:b/>
        </w:rPr>
        <w:t xml:space="preserve"> </w:t>
      </w:r>
      <w:r w:rsidR="000903EB">
        <w:rPr>
          <w:rFonts w:ascii="Palatino Linotype" w:hAnsi="Palatino Linotype"/>
          <w:b/>
        </w:rPr>
        <w:t>27</w:t>
      </w:r>
      <w:r w:rsidR="00B76DE1">
        <w:rPr>
          <w:rFonts w:ascii="Palatino Linotype" w:hAnsi="Palatino Linotype"/>
          <w:b/>
        </w:rPr>
        <w:t xml:space="preserve"> de </w:t>
      </w:r>
      <w:r w:rsidR="000903EB">
        <w:rPr>
          <w:rFonts w:ascii="Palatino Linotype" w:hAnsi="Palatino Linotype"/>
          <w:b/>
        </w:rPr>
        <w:t>Agosto</w:t>
      </w:r>
      <w:r w:rsidR="00F224E4">
        <w:rPr>
          <w:rFonts w:ascii="Palatino Linotype" w:hAnsi="Palatino Linotype"/>
          <w:b/>
        </w:rPr>
        <w:t xml:space="preserve"> de 2018</w:t>
      </w:r>
    </w:p>
    <w:p w:rsidR="00A35CD7" w:rsidRPr="00B76DE1" w:rsidRDefault="00A35CD7" w:rsidP="00A35CD7">
      <w:pPr>
        <w:spacing w:before="240" w:after="240" w:line="360" w:lineRule="auto"/>
        <w:jc w:val="both"/>
        <w:rPr>
          <w:b/>
          <w:noProof/>
          <w:sz w:val="24"/>
          <w:lang w:eastAsia="es-MX"/>
        </w:rPr>
      </w:pPr>
      <w:r w:rsidRPr="00B76DE1">
        <w:rPr>
          <w:b/>
          <w:noProof/>
          <w:sz w:val="24"/>
          <w:lang w:eastAsia="es-MX"/>
        </w:rPr>
        <mc:AlternateContent>
          <mc:Choice Requires="wps">
            <w:drawing>
              <wp:anchor distT="0" distB="0" distL="114300" distR="114300" simplePos="0" relativeHeight="251659264" behindDoc="1" locked="0" layoutInCell="0" allowOverlap="1" wp14:anchorId="336DED3D" wp14:editId="1B330C10">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35CD7" w:rsidRDefault="00A35CD7" w:rsidP="00A35CD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6DED3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A35CD7" w:rsidRDefault="00A35CD7" w:rsidP="00A35CD7">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B76DE1">
        <w:rPr>
          <w:rFonts w:ascii="Palatino Linotype" w:hAnsi="Palatino Linotype"/>
          <w:b/>
          <w:sz w:val="24"/>
        </w:rPr>
        <w:t xml:space="preserve">VOTO PARTICULAR CONCURRENTE QUE FORMULAN </w:t>
      </w:r>
      <w:r w:rsidR="000903EB">
        <w:rPr>
          <w:rFonts w:ascii="Palatino Linotype" w:hAnsi="Palatino Linotype"/>
          <w:b/>
          <w:sz w:val="24"/>
        </w:rPr>
        <w:t>EL COMISIONADO</w:t>
      </w:r>
      <w:r w:rsidR="00B7621A" w:rsidRPr="00B76DE1">
        <w:rPr>
          <w:rFonts w:ascii="Palatino Linotype" w:hAnsi="Palatino Linotype"/>
          <w:b/>
          <w:sz w:val="24"/>
        </w:rPr>
        <w:t xml:space="preserve"> </w:t>
      </w:r>
      <w:r w:rsidR="000903EB">
        <w:rPr>
          <w:rFonts w:ascii="Palatino Linotype" w:hAnsi="Palatino Linotype"/>
          <w:b/>
          <w:sz w:val="24"/>
        </w:rPr>
        <w:t>JOSÉ GUADALUPE LUNA HERNÁNDEZ</w:t>
      </w:r>
      <w:r w:rsidRPr="00B76DE1">
        <w:rPr>
          <w:rFonts w:ascii="Palatino Linotype" w:hAnsi="Palatino Linotype"/>
          <w:b/>
          <w:sz w:val="24"/>
        </w:rPr>
        <w:t xml:space="preserve"> Y EL COMISIONADO JAVIER MARTÍNEZ CRUZ, EN RELACIÓN CON LA RESOLUCIÓN DICTADA POR EL PLENO DEL INSTITUTO DE TRANSPARENCIA, ACCESO A LA INFORMACIÓN PÚBLICA Y PROTECCIÓN DE DATOS PERSONALES DEL ESTAD</w:t>
      </w:r>
      <w:r w:rsidR="00F224E4" w:rsidRPr="00B76DE1">
        <w:rPr>
          <w:rFonts w:ascii="Palatino Linotype" w:hAnsi="Palatino Linotype"/>
          <w:b/>
          <w:sz w:val="24"/>
        </w:rPr>
        <w:t xml:space="preserve">O DE MÉXICO Y MUNICIPIOS, EN LA </w:t>
      </w:r>
      <w:r w:rsidR="000903EB">
        <w:rPr>
          <w:rFonts w:ascii="Palatino Linotype" w:hAnsi="Palatino Linotype"/>
          <w:b/>
          <w:sz w:val="24"/>
        </w:rPr>
        <w:t>TRI</w:t>
      </w:r>
      <w:r w:rsidR="00C304C5">
        <w:rPr>
          <w:rFonts w:ascii="Palatino Linotype" w:hAnsi="Palatino Linotype"/>
          <w:b/>
          <w:sz w:val="24"/>
        </w:rPr>
        <w:t>GÉSIMA</w:t>
      </w:r>
      <w:r w:rsidRPr="00B76DE1">
        <w:rPr>
          <w:rFonts w:ascii="Palatino Linotype" w:hAnsi="Palatino Linotype"/>
          <w:b/>
          <w:sz w:val="24"/>
        </w:rPr>
        <w:t xml:space="preserve"> SESIÓN ORDINARIA DEL </w:t>
      </w:r>
      <w:r w:rsidR="000903EB">
        <w:rPr>
          <w:rFonts w:ascii="Palatino Linotype" w:hAnsi="Palatino Linotype"/>
          <w:b/>
          <w:sz w:val="24"/>
        </w:rPr>
        <w:t>VEINTIDÓS DE AGOSTO</w:t>
      </w:r>
      <w:r w:rsidRPr="00B76DE1">
        <w:rPr>
          <w:rFonts w:ascii="Palatino Linotype" w:hAnsi="Palatino Linotype"/>
          <w:b/>
          <w:sz w:val="24"/>
        </w:rPr>
        <w:t xml:space="preserve"> DE DOS MIL </w:t>
      </w:r>
      <w:r w:rsidR="00F224E4" w:rsidRPr="00B76DE1">
        <w:rPr>
          <w:rFonts w:ascii="Palatino Linotype" w:hAnsi="Palatino Linotype"/>
          <w:b/>
          <w:sz w:val="24"/>
        </w:rPr>
        <w:t>DIECIOCHO</w:t>
      </w:r>
      <w:r w:rsidRPr="00B76DE1">
        <w:rPr>
          <w:rFonts w:ascii="Palatino Linotype" w:hAnsi="Palatino Linotype"/>
          <w:b/>
          <w:sz w:val="24"/>
        </w:rPr>
        <w:t xml:space="preserve">, EN EL RECURSO DE REVISIÓN </w:t>
      </w:r>
      <w:r w:rsidR="000903EB" w:rsidRPr="000903EB">
        <w:rPr>
          <w:rFonts w:ascii="Palatino Linotype" w:hAnsi="Palatino Linotype"/>
          <w:b/>
          <w:bCs/>
          <w:sz w:val="24"/>
        </w:rPr>
        <w:t>02125/INFOEM/IP/RR/2018, 02152/INFOEM/IP/RR/2018 y 02375/INFOEM/IP/RR/2018</w:t>
      </w:r>
      <w:r w:rsidR="000903EB">
        <w:rPr>
          <w:rFonts w:ascii="Palatino Linotype" w:hAnsi="Palatino Linotype"/>
          <w:b/>
          <w:sz w:val="24"/>
        </w:rPr>
        <w:t>, acumulados.</w:t>
      </w:r>
    </w:p>
    <w:p w:rsidR="00A35CD7" w:rsidRDefault="00A35CD7" w:rsidP="00A35CD7">
      <w:pPr>
        <w:spacing w:before="240" w:after="240" w:line="360" w:lineRule="auto"/>
        <w:jc w:val="both"/>
        <w:rPr>
          <w:rFonts w:ascii="Palatino Linotype" w:hAnsi="Palatino Linotype"/>
          <w:sz w:val="24"/>
        </w:rPr>
      </w:pPr>
      <w:r w:rsidRPr="00F62F00">
        <w:rPr>
          <w:rFonts w:ascii="Palatino Linotype" w:hAnsi="Palatino Linotype"/>
          <w:sz w:val="24"/>
        </w:rPr>
        <w:t>El Pleno del Instituto de Transparencia, Acceso a la Información Pública y Protección de Datos Personales del Estado de México res</w:t>
      </w:r>
      <w:r w:rsidR="00B7621A" w:rsidRPr="00F62F00">
        <w:rPr>
          <w:rFonts w:ascii="Palatino Linotype" w:hAnsi="Palatino Linotype"/>
          <w:sz w:val="24"/>
        </w:rPr>
        <w:t xml:space="preserve">olvió por unanimidad de votos, </w:t>
      </w:r>
      <w:r w:rsidRPr="00F62F00">
        <w:rPr>
          <w:rFonts w:ascii="Palatino Linotype" w:hAnsi="Palatino Linotype"/>
          <w:sz w:val="24"/>
        </w:rPr>
        <w:t xml:space="preserve">la resolución relativa al recurso de revisión </w:t>
      </w:r>
      <w:r w:rsidR="000903EB">
        <w:rPr>
          <w:rFonts w:ascii="Palatino Linotype" w:hAnsi="Palatino Linotype" w:cs="Arial"/>
          <w:b/>
          <w:bCs/>
          <w:sz w:val="24"/>
          <w:lang w:eastAsia="es-MX"/>
        </w:rPr>
        <w:t>02125</w:t>
      </w:r>
      <w:r w:rsidR="00F224E4" w:rsidRPr="00F62F00">
        <w:rPr>
          <w:rFonts w:ascii="Palatino Linotype" w:hAnsi="Palatino Linotype" w:cs="Arial"/>
          <w:b/>
          <w:bCs/>
          <w:sz w:val="24"/>
          <w:lang w:eastAsia="es-MX"/>
        </w:rPr>
        <w:t>/INFOEM/IP/RR/2018</w:t>
      </w:r>
      <w:r w:rsidR="000903EB">
        <w:rPr>
          <w:rFonts w:ascii="Palatino Linotype" w:hAnsi="Palatino Linotype" w:cs="Arial"/>
          <w:b/>
          <w:bCs/>
          <w:sz w:val="24"/>
          <w:lang w:eastAsia="es-MX"/>
        </w:rPr>
        <w:t xml:space="preserve"> y acumulados</w:t>
      </w:r>
      <w:r w:rsidRPr="00F62F00">
        <w:rPr>
          <w:rFonts w:ascii="Palatino Linotype" w:hAnsi="Palatino Linotype" w:cs="Arial"/>
          <w:bCs/>
          <w:sz w:val="24"/>
          <w:lang w:eastAsia="es-MX"/>
        </w:rPr>
        <w:t xml:space="preserve"> </w:t>
      </w:r>
      <w:r w:rsidR="00B7621A" w:rsidRPr="00F62F00">
        <w:rPr>
          <w:rFonts w:ascii="Palatino Linotype" w:hAnsi="Palatino Linotype"/>
          <w:sz w:val="24"/>
        </w:rPr>
        <w:t xml:space="preserve">presentada por </w:t>
      </w:r>
      <w:r w:rsidR="000903EB">
        <w:rPr>
          <w:rFonts w:ascii="Palatino Linotype" w:hAnsi="Palatino Linotype"/>
          <w:sz w:val="24"/>
        </w:rPr>
        <w:t>la Comisionada Presidenta Zulema Martínez Sánchez</w:t>
      </w:r>
      <w:r w:rsidRPr="00F62F00">
        <w:rPr>
          <w:rFonts w:ascii="Palatino Linotype" w:hAnsi="Palatino Linotype"/>
          <w:sz w:val="24"/>
        </w:rPr>
        <w:t xml:space="preserve">, respecto de la cual, </w:t>
      </w:r>
      <w:r w:rsidR="000903EB">
        <w:rPr>
          <w:rFonts w:ascii="Palatino Linotype" w:hAnsi="Palatino Linotype"/>
          <w:sz w:val="24"/>
        </w:rPr>
        <w:t>el Comisionado José Guadalupe Luna Hernández</w:t>
      </w:r>
      <w:r w:rsidRPr="00F62F00">
        <w:rPr>
          <w:rFonts w:ascii="Palatino Linotype" w:hAnsi="Palatino Linotype"/>
          <w:sz w:val="24"/>
        </w:rPr>
        <w:t xml:space="preserve"> y el Comisionado Javier Martínez Cruz, formulan </w:t>
      </w:r>
      <w:r w:rsidRPr="00F62F00">
        <w:rPr>
          <w:rFonts w:ascii="Palatino Linotype" w:hAnsi="Palatino Linotype"/>
          <w:b/>
          <w:sz w:val="24"/>
        </w:rPr>
        <w:t>VOTO PARTICULAR CONCURRENTE</w:t>
      </w:r>
      <w:r w:rsidRPr="00F62F00">
        <w:rPr>
          <w:rFonts w:ascii="Palatino Linotype" w:hAnsi="Palatino Linotype"/>
          <w:sz w:val="24"/>
        </w:rPr>
        <w:t>, con fundamento en el artículo 14 fracción XI del Reglamento del Instituto de Transparencia, Acceso a la Información Pública y Protección de Personales Datos del Estado de México.</w:t>
      </w:r>
    </w:p>
    <w:p w:rsidR="00A55330" w:rsidRDefault="00A55330" w:rsidP="00A35CD7">
      <w:pPr>
        <w:spacing w:before="240" w:after="240" w:line="360" w:lineRule="auto"/>
        <w:jc w:val="both"/>
        <w:rPr>
          <w:rFonts w:ascii="Palatino Linotype" w:hAnsi="Palatino Linotype"/>
          <w:sz w:val="24"/>
        </w:rPr>
      </w:pPr>
      <w:r>
        <w:rPr>
          <w:rFonts w:ascii="Palatino Linotype" w:hAnsi="Palatino Linotype"/>
          <w:sz w:val="24"/>
        </w:rPr>
        <w:lastRenderedPageBreak/>
        <w:t xml:space="preserve">De manera previa a la emisión del presente voto, </w:t>
      </w:r>
      <w:r w:rsidRPr="00A55330">
        <w:rPr>
          <w:rFonts w:ascii="Palatino Linotype" w:hAnsi="Palatino Linotype"/>
          <w:sz w:val="24"/>
        </w:rPr>
        <w:t>se debe precisar la materia en que r</w:t>
      </w:r>
      <w:r w:rsidR="00400B0C">
        <w:rPr>
          <w:rFonts w:ascii="Palatino Linotype" w:hAnsi="Palatino Linotype"/>
          <w:sz w:val="24"/>
        </w:rPr>
        <w:t>adicó el recurso de revisión, la</w:t>
      </w:r>
      <w:r w:rsidRPr="00A55330">
        <w:rPr>
          <w:rFonts w:ascii="Palatino Linotype" w:hAnsi="Palatino Linotype"/>
          <w:sz w:val="24"/>
        </w:rPr>
        <w:t xml:space="preserve"> cual consiste en la entrega de documentación</w:t>
      </w:r>
      <w:r>
        <w:rPr>
          <w:rFonts w:ascii="Palatino Linotype" w:hAnsi="Palatino Linotype"/>
          <w:sz w:val="24"/>
        </w:rPr>
        <w:t xml:space="preserve"> siguiente:</w:t>
      </w:r>
    </w:p>
    <w:p w:rsidR="00A55330" w:rsidRPr="00A55330" w:rsidRDefault="00A55330" w:rsidP="00A55330">
      <w:pPr>
        <w:spacing w:before="240" w:after="240" w:line="360" w:lineRule="auto"/>
        <w:jc w:val="both"/>
        <w:rPr>
          <w:rFonts w:ascii="Palatino Linotype" w:hAnsi="Palatino Linotype"/>
          <w:b/>
          <w:i/>
          <w:sz w:val="24"/>
          <w:lang w:val="es-ES_tradnl"/>
        </w:rPr>
      </w:pPr>
      <w:r w:rsidRPr="00A55330">
        <w:rPr>
          <w:rFonts w:ascii="Palatino Linotype" w:hAnsi="Palatino Linotype"/>
          <w:b/>
          <w:i/>
          <w:sz w:val="24"/>
          <w:lang w:val="es-ES_tradnl"/>
        </w:rPr>
        <w:t xml:space="preserve">Para las solicitudes 00013/RAYON/IP/2018 y </w:t>
      </w:r>
      <w:r w:rsidRPr="00A55330">
        <w:rPr>
          <w:rFonts w:ascii="Palatino Linotype" w:hAnsi="Palatino Linotype"/>
          <w:b/>
          <w:bCs/>
          <w:i/>
          <w:sz w:val="24"/>
        </w:rPr>
        <w:t>00014/RAYON/IP/2018</w:t>
      </w:r>
    </w:p>
    <w:p w:rsidR="00A55330" w:rsidRPr="00A55330" w:rsidRDefault="00A55330" w:rsidP="00A55330">
      <w:pPr>
        <w:spacing w:before="240" w:after="240" w:line="360" w:lineRule="auto"/>
        <w:jc w:val="both"/>
        <w:rPr>
          <w:rFonts w:ascii="Palatino Linotype" w:hAnsi="Palatino Linotype"/>
          <w:i/>
          <w:sz w:val="24"/>
          <w:lang w:val="es-ES_tradnl"/>
        </w:rPr>
      </w:pPr>
      <w:r w:rsidRPr="00A55330">
        <w:rPr>
          <w:rFonts w:ascii="Palatino Linotype" w:hAnsi="Palatino Linotype"/>
          <w:i/>
          <w:sz w:val="24"/>
          <w:lang w:val="es-ES_tradnl"/>
        </w:rPr>
        <w:t>“Buena tarde requiero por este conducto conocer la naturaleza jurídica y documentos fehacientes que acreditan la propiedad del inmueble conocido como "mercado de artesanías" ubicado en pleno centro del municipio Rayón. También quisiera conocer el Convenio, contrato o documento cualquiera que sea su nombre, por el que el denominado "Banco Azteca", instalará en el mercado de artesanos una de sus sucursales.” (Sic)</w:t>
      </w:r>
    </w:p>
    <w:p w:rsidR="00A55330" w:rsidRPr="00A55330" w:rsidRDefault="00A55330" w:rsidP="00A55330">
      <w:pPr>
        <w:spacing w:before="240" w:after="240" w:line="360" w:lineRule="auto"/>
        <w:jc w:val="both"/>
        <w:rPr>
          <w:rFonts w:ascii="Palatino Linotype" w:hAnsi="Palatino Linotype"/>
          <w:b/>
          <w:i/>
          <w:sz w:val="24"/>
        </w:rPr>
      </w:pPr>
      <w:r w:rsidRPr="00A55330">
        <w:rPr>
          <w:rFonts w:ascii="Palatino Linotype" w:hAnsi="Palatino Linotype"/>
          <w:b/>
          <w:i/>
          <w:sz w:val="24"/>
          <w:lang w:val="es-ES_tradnl"/>
        </w:rPr>
        <w:t xml:space="preserve">Solicitud </w:t>
      </w:r>
      <w:r w:rsidRPr="00A55330">
        <w:rPr>
          <w:rFonts w:ascii="Palatino Linotype" w:hAnsi="Palatino Linotype"/>
          <w:b/>
          <w:i/>
          <w:sz w:val="24"/>
        </w:rPr>
        <w:t>00016/RAYON/IP/2018</w:t>
      </w:r>
    </w:p>
    <w:p w:rsidR="00A55330" w:rsidRPr="00A55330" w:rsidRDefault="00A55330" w:rsidP="00A55330">
      <w:pPr>
        <w:spacing w:before="240" w:after="240" w:line="360" w:lineRule="auto"/>
        <w:jc w:val="both"/>
        <w:rPr>
          <w:rFonts w:ascii="Palatino Linotype" w:hAnsi="Palatino Linotype"/>
          <w:b/>
          <w:i/>
          <w:sz w:val="24"/>
          <w:lang w:val="es-ES_tradnl"/>
        </w:rPr>
      </w:pPr>
      <w:r w:rsidRPr="00A55330">
        <w:rPr>
          <w:rFonts w:ascii="Palatino Linotype" w:hAnsi="Palatino Linotype"/>
          <w:i/>
          <w:sz w:val="24"/>
          <w:lang w:val="es-ES_tradnl"/>
        </w:rPr>
        <w:t xml:space="preserve">“Solicito copia de la Sesión Ordinaria de Cabildo de fecha veintidós de septiembre del 2017, en la que el Ayuntamiento de Rayón acordó una colaboración bipartita con el Banco Azteca. Requiero también se proporcionen copias o información respecto la consulta ciudadana para permitir la instalación de dicho banco en un bien público. </w:t>
      </w:r>
      <w:proofErr w:type="gramStart"/>
      <w:r w:rsidRPr="00A55330">
        <w:rPr>
          <w:rFonts w:ascii="Palatino Linotype" w:hAnsi="Palatino Linotype"/>
          <w:i/>
          <w:sz w:val="24"/>
          <w:lang w:val="es-ES_tradnl"/>
        </w:rPr>
        <w:t>de</w:t>
      </w:r>
      <w:proofErr w:type="gramEnd"/>
      <w:r w:rsidRPr="00A55330">
        <w:rPr>
          <w:rFonts w:ascii="Palatino Linotype" w:hAnsi="Palatino Linotype"/>
          <w:i/>
          <w:sz w:val="24"/>
          <w:lang w:val="es-ES_tradnl"/>
        </w:rPr>
        <w:t xml:space="preserve"> igual forma requiero copia de los documentos en los que consta la naturaleza jurídica, características, medidas, colindancias y propiedad del inmueble denominado "mercado de artesanos" ubicado justo en el centro a un costado del kiosco del municipio de Rayón.”(Sic)</w:t>
      </w:r>
    </w:p>
    <w:p w:rsidR="00A55330" w:rsidRDefault="00A55330" w:rsidP="00A35CD7">
      <w:pPr>
        <w:spacing w:before="240" w:after="240" w:line="360" w:lineRule="auto"/>
        <w:jc w:val="both"/>
        <w:rPr>
          <w:rFonts w:ascii="Palatino Linotype" w:hAnsi="Palatino Linotype"/>
          <w:sz w:val="24"/>
        </w:rPr>
      </w:pPr>
      <w:r>
        <w:rPr>
          <w:rFonts w:ascii="Palatino Linotype" w:hAnsi="Palatino Linotype"/>
          <w:sz w:val="24"/>
        </w:rPr>
        <w:lastRenderedPageBreak/>
        <w:t>Posterior a ello, el Sujeto Obligado fue omiso en entregar respuestas a las solicitudes de información, es entonces que la parte recurrente se inconforma por la falta de respuesta.</w:t>
      </w:r>
    </w:p>
    <w:p w:rsidR="00A55330" w:rsidRDefault="00A55330" w:rsidP="00A35CD7">
      <w:pPr>
        <w:spacing w:before="240" w:after="240" w:line="360" w:lineRule="auto"/>
        <w:jc w:val="both"/>
        <w:rPr>
          <w:rFonts w:ascii="Palatino Linotype" w:hAnsi="Palatino Linotype"/>
          <w:sz w:val="24"/>
        </w:rPr>
      </w:pPr>
      <w:r>
        <w:rPr>
          <w:rFonts w:ascii="Palatino Linotype" w:hAnsi="Palatino Linotype"/>
          <w:sz w:val="24"/>
        </w:rPr>
        <w:t xml:space="preserve">Una vez </w:t>
      </w:r>
      <w:proofErr w:type="spellStart"/>
      <w:r w:rsidR="00A21967">
        <w:rPr>
          <w:rFonts w:ascii="Palatino Linotype" w:hAnsi="Palatino Linotype"/>
          <w:sz w:val="24"/>
        </w:rPr>
        <w:t>apertura</w:t>
      </w:r>
      <w:r>
        <w:rPr>
          <w:rFonts w:ascii="Palatino Linotype" w:hAnsi="Palatino Linotype"/>
          <w:sz w:val="24"/>
        </w:rPr>
        <w:t>da</w:t>
      </w:r>
      <w:proofErr w:type="spellEnd"/>
      <w:r>
        <w:rPr>
          <w:rFonts w:ascii="Palatino Linotype" w:hAnsi="Palatino Linotype"/>
          <w:sz w:val="24"/>
        </w:rPr>
        <w:t xml:space="preserve"> la etapa de instrucción</w:t>
      </w:r>
      <w:r w:rsidR="00A21967">
        <w:rPr>
          <w:rFonts w:ascii="Palatino Linotype" w:hAnsi="Palatino Linotype"/>
          <w:sz w:val="24"/>
        </w:rPr>
        <w:t xml:space="preserve"> ninguna de las partes realizó manifestación alguna.</w:t>
      </w:r>
    </w:p>
    <w:p w:rsidR="009B6F72" w:rsidRPr="00F62F00" w:rsidRDefault="009B6F72" w:rsidP="00A35CD7">
      <w:pPr>
        <w:spacing w:before="240" w:after="240" w:line="360" w:lineRule="auto"/>
        <w:jc w:val="both"/>
        <w:rPr>
          <w:rFonts w:ascii="Palatino Linotype" w:hAnsi="Palatino Linotype"/>
          <w:sz w:val="24"/>
        </w:rPr>
      </w:pPr>
      <w:r>
        <w:rPr>
          <w:rFonts w:ascii="Palatino Linotype" w:hAnsi="Palatino Linotype"/>
          <w:sz w:val="24"/>
        </w:rPr>
        <w:t xml:space="preserve">Ahora, la Ponencia que resuelve, ordena la entrega de la información previo pago, lo cual, los que suscriben no comparten dicho criterio, por </w:t>
      </w:r>
      <w:r w:rsidR="006C13C2">
        <w:rPr>
          <w:rFonts w:ascii="Palatino Linotype" w:hAnsi="Palatino Linotype"/>
          <w:sz w:val="24"/>
        </w:rPr>
        <w:t>las siguientes razones</w:t>
      </w:r>
      <w:r>
        <w:rPr>
          <w:rFonts w:ascii="Palatino Linotype" w:hAnsi="Palatino Linotype"/>
          <w:sz w:val="24"/>
        </w:rPr>
        <w:t>:</w:t>
      </w:r>
    </w:p>
    <w:p w:rsidR="00A21967" w:rsidRPr="006C13C2" w:rsidRDefault="00400B0C" w:rsidP="00A21967">
      <w:pPr>
        <w:spacing w:before="240" w:after="240" w:line="360" w:lineRule="auto"/>
        <w:jc w:val="both"/>
        <w:rPr>
          <w:rFonts w:ascii="Palatino Linotype" w:hAnsi="Palatino Linotype"/>
          <w:sz w:val="24"/>
        </w:rPr>
      </w:pPr>
      <w:r>
        <w:rPr>
          <w:rFonts w:ascii="Palatino Linotype" w:hAnsi="Palatino Linotype"/>
          <w:sz w:val="24"/>
        </w:rPr>
        <w:t>Primero</w:t>
      </w:r>
      <w:r w:rsidR="00A21967" w:rsidRPr="006C13C2">
        <w:rPr>
          <w:rFonts w:ascii="Palatino Linotype" w:hAnsi="Palatino Linotype"/>
          <w:sz w:val="24"/>
        </w:rPr>
        <w:t xml:space="preserve">, </w:t>
      </w:r>
      <w:r w:rsidR="009B6F72" w:rsidRPr="006C13C2">
        <w:rPr>
          <w:rFonts w:ascii="Palatino Linotype" w:hAnsi="Palatino Linotype"/>
          <w:sz w:val="24"/>
        </w:rPr>
        <w:t>el</w:t>
      </w:r>
      <w:r w:rsidR="00A21967" w:rsidRPr="006C13C2">
        <w:rPr>
          <w:rFonts w:ascii="Palatino Linotype" w:hAnsi="Palatino Linotype"/>
          <w:sz w:val="24"/>
        </w:rPr>
        <w:t xml:space="preserve"> artículo 148 del Código Financiero del Estado de México, en donde se estipulan las tarifas que se deben aplicar por el cobro de los documentos fotocopiados, digitalizados o certificados en el ejercicio del derecho de acceso a la información pública.</w:t>
      </w:r>
    </w:p>
    <w:p w:rsidR="00A21967" w:rsidRPr="006C13C2" w:rsidRDefault="00A21967" w:rsidP="00A21967">
      <w:pPr>
        <w:spacing w:before="240" w:after="240" w:line="360" w:lineRule="auto"/>
        <w:jc w:val="both"/>
        <w:rPr>
          <w:rFonts w:ascii="Palatino Linotype" w:hAnsi="Palatino Linotype" w:cs="Arial"/>
          <w:sz w:val="24"/>
        </w:rPr>
      </w:pPr>
      <w:r w:rsidRPr="006C13C2">
        <w:rPr>
          <w:rFonts w:ascii="Palatino Linotype" w:hAnsi="Palatino Linotype" w:cs="Arial"/>
          <w:sz w:val="24"/>
        </w:rPr>
        <w:t>No obstante lo anterior, los suscritos no compartimos en su totalidad lo argumentado en la resolución aprobada por el Pleno de este Órgano Garante, en concreto en lo relativo a la factibilidad del cobro por la</w:t>
      </w:r>
      <w:r w:rsidR="009B6F72" w:rsidRPr="006C13C2">
        <w:rPr>
          <w:rFonts w:ascii="Palatino Linotype" w:hAnsi="Palatino Linotype" w:cs="Arial"/>
          <w:sz w:val="24"/>
        </w:rPr>
        <w:t>s copias</w:t>
      </w:r>
      <w:r w:rsidRPr="006C13C2">
        <w:rPr>
          <w:rFonts w:ascii="Palatino Linotype" w:hAnsi="Palatino Linotype" w:cs="Arial"/>
          <w:sz w:val="24"/>
        </w:rPr>
        <w:t xml:space="preserve"> de la información a entregar.</w:t>
      </w:r>
    </w:p>
    <w:p w:rsidR="00A21967" w:rsidRPr="006C13C2" w:rsidRDefault="00A21967" w:rsidP="00A21967">
      <w:pPr>
        <w:spacing w:before="240" w:after="240" w:line="360" w:lineRule="auto"/>
        <w:jc w:val="both"/>
        <w:rPr>
          <w:rFonts w:ascii="Palatino Linotype" w:hAnsi="Palatino Linotype" w:cs="Arial"/>
          <w:sz w:val="24"/>
        </w:rPr>
      </w:pPr>
      <w:r w:rsidRPr="006C13C2">
        <w:rPr>
          <w:rFonts w:ascii="Palatino Linotype" w:hAnsi="Palatino Linotype" w:cs="Arial"/>
          <w:sz w:val="24"/>
        </w:rPr>
        <w:t xml:space="preserve">En sustento a lo anterior, es preciso señalar que 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w:t>
      </w:r>
      <w:r w:rsidRPr="006C13C2">
        <w:rPr>
          <w:rFonts w:ascii="Palatino Linotype" w:hAnsi="Palatino Linotype" w:cs="Arial"/>
          <w:sz w:val="24"/>
        </w:rPr>
        <w:lastRenderedPageBreak/>
        <w:t>procedimientos sencillos, expeditos, oportunos y gratuitos;</w:t>
      </w:r>
      <w:r w:rsidRPr="006C13C2">
        <w:rPr>
          <w:rFonts w:ascii="Palatino Linotype" w:hAnsi="Palatino Linotype" w:cs="Arial"/>
          <w:b/>
          <w:sz w:val="24"/>
        </w:rPr>
        <w:t xml:space="preserve"> </w:t>
      </w:r>
      <w:r w:rsidRPr="006C13C2">
        <w:rPr>
          <w:rFonts w:ascii="Palatino Linotype" w:hAnsi="Palatino Linotype" w:cs="Arial"/>
          <w:sz w:val="24"/>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6C13C2">
        <w:rPr>
          <w:rFonts w:ascii="Palatino Linotype" w:hAnsi="Palatino Linotype" w:cs="Arial"/>
          <w:sz w:val="24"/>
        </w:rPr>
        <w:t>el</w:t>
      </w:r>
      <w:proofErr w:type="spellEnd"/>
      <w:r w:rsidRPr="006C13C2">
        <w:rPr>
          <w:rFonts w:ascii="Palatino Linotype" w:hAnsi="Palatino Linotype" w:cs="Arial"/>
          <w:sz w:val="24"/>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A21967" w:rsidRPr="006C13C2" w:rsidRDefault="00A21967" w:rsidP="00A21967">
      <w:pPr>
        <w:spacing w:before="240" w:after="240" w:line="360" w:lineRule="auto"/>
        <w:jc w:val="both"/>
        <w:rPr>
          <w:rFonts w:ascii="Palatino Linotype" w:hAnsi="Palatino Linotype" w:cs="Arial"/>
          <w:sz w:val="24"/>
        </w:rPr>
      </w:pPr>
      <w:r w:rsidRPr="006C13C2">
        <w:rPr>
          <w:rFonts w:ascii="Palatino Linotype" w:hAnsi="Palatino Linotype" w:cs="Arial"/>
          <w:sz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w:t>
      </w:r>
      <w:r w:rsidR="009B6F72" w:rsidRPr="006C13C2">
        <w:rPr>
          <w:rFonts w:ascii="Palatino Linotype" w:hAnsi="Palatino Linotype" w:cs="Arial"/>
          <w:sz w:val="24"/>
        </w:rPr>
        <w:t xml:space="preserve"> solicitadas por el recurrente en la </w:t>
      </w:r>
      <w:r w:rsidR="009B6F72" w:rsidRPr="006C13C2">
        <w:rPr>
          <w:rFonts w:ascii="Palatino Linotype" w:hAnsi="Palatino Linotype" w:cs="Arial"/>
          <w:sz w:val="24"/>
        </w:rPr>
        <w:lastRenderedPageBreak/>
        <w:t>modalidad señalada, situación que no aconteció en el presente asunto</w:t>
      </w:r>
      <w:r w:rsidRPr="006C13C2">
        <w:rPr>
          <w:rFonts w:ascii="Palatino Linotype" w:hAnsi="Palatino Linotype" w:cs="Arial"/>
          <w:sz w:val="24"/>
        </w:rPr>
        <w:t>, respaldos informativos, entre otros.</w:t>
      </w:r>
    </w:p>
    <w:p w:rsidR="00A21967" w:rsidRPr="006C13C2" w:rsidRDefault="00A21967" w:rsidP="00A21967">
      <w:pPr>
        <w:spacing w:before="240" w:after="240" w:line="360" w:lineRule="auto"/>
        <w:jc w:val="both"/>
        <w:rPr>
          <w:rFonts w:ascii="Palatino Linotype" w:hAnsi="Palatino Linotype" w:cs="Arial"/>
          <w:sz w:val="24"/>
        </w:rPr>
      </w:pPr>
      <w:r w:rsidRPr="006C13C2">
        <w:rPr>
          <w:rFonts w:ascii="Palatino Linotype" w:hAnsi="Palatino Linotype" w:cs="Arial"/>
          <w:sz w:val="24"/>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6C13C2">
        <w:rPr>
          <w:rFonts w:ascii="Palatino Linotype" w:hAnsi="Palatino Linotype" w:cs="Arial"/>
          <w:sz w:val="24"/>
        </w:rPr>
        <w:t>el</w:t>
      </w:r>
      <w:proofErr w:type="spellEnd"/>
      <w:r w:rsidRPr="006C13C2">
        <w:rPr>
          <w:rFonts w:ascii="Palatino Linotype" w:hAnsi="Palatino Linotype" w:cs="Arial"/>
          <w:sz w:val="24"/>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A21967" w:rsidRPr="007D5CDA" w:rsidRDefault="00A21967" w:rsidP="00A21967">
      <w:pPr>
        <w:autoSpaceDE w:val="0"/>
        <w:autoSpaceDN w:val="0"/>
        <w:adjustRightInd w:val="0"/>
        <w:spacing w:line="360" w:lineRule="auto"/>
        <w:ind w:left="851" w:right="902"/>
        <w:jc w:val="both"/>
        <w:rPr>
          <w:rFonts w:ascii="Palatino Linotype" w:hAnsi="Palatino Linotype" w:cs="Arial"/>
          <w:bCs/>
          <w:i/>
        </w:rPr>
      </w:pPr>
      <w:r w:rsidRPr="007D5CDA">
        <w:rPr>
          <w:rFonts w:ascii="Palatino Linotype" w:hAnsi="Palatino Linotype" w:cs="Arial"/>
          <w:b/>
          <w:bCs/>
          <w:i/>
        </w:rPr>
        <w:t>“Artículo 174. En caso de existir costos para obtener la información</w:t>
      </w:r>
      <w:r w:rsidRPr="007D5CDA">
        <w:rPr>
          <w:rFonts w:ascii="Palatino Linotype" w:hAnsi="Palatino Linotype" w:cs="Arial"/>
          <w:bCs/>
          <w:i/>
        </w:rPr>
        <w:t xml:space="preserve"> deberán cubrirse de manera previa a la entrega y </w:t>
      </w:r>
      <w:r w:rsidRPr="007D5CDA">
        <w:rPr>
          <w:rFonts w:ascii="Palatino Linotype" w:hAnsi="Palatino Linotype" w:cs="Arial"/>
          <w:b/>
          <w:bCs/>
          <w:i/>
        </w:rPr>
        <w:t>no podrán ser superiores a la suma de</w:t>
      </w:r>
      <w:r w:rsidRPr="007D5CDA">
        <w:rPr>
          <w:rFonts w:ascii="Palatino Linotype" w:hAnsi="Palatino Linotype" w:cs="Arial"/>
          <w:bCs/>
          <w:i/>
        </w:rPr>
        <w:t>:</w:t>
      </w:r>
    </w:p>
    <w:p w:rsidR="00A21967" w:rsidRPr="007D5CDA" w:rsidRDefault="00A21967" w:rsidP="00A21967">
      <w:pPr>
        <w:autoSpaceDE w:val="0"/>
        <w:autoSpaceDN w:val="0"/>
        <w:adjustRightInd w:val="0"/>
        <w:spacing w:line="360" w:lineRule="auto"/>
        <w:ind w:left="851" w:right="902"/>
        <w:jc w:val="both"/>
        <w:rPr>
          <w:rFonts w:ascii="Palatino Linotype" w:hAnsi="Palatino Linotype" w:cs="Arial"/>
          <w:bCs/>
          <w:i/>
        </w:rPr>
      </w:pPr>
      <w:r w:rsidRPr="007D5CDA">
        <w:rPr>
          <w:rFonts w:ascii="Palatino Linotype" w:hAnsi="Palatino Linotype" w:cs="Arial"/>
          <w:b/>
          <w:bCs/>
          <w:i/>
        </w:rPr>
        <w:t>I.</w:t>
      </w:r>
      <w:r w:rsidRPr="007D5CDA">
        <w:rPr>
          <w:rFonts w:ascii="Palatino Linotype" w:hAnsi="Palatino Linotype" w:cs="Arial"/>
          <w:bCs/>
          <w:i/>
        </w:rPr>
        <w:t xml:space="preserve"> </w:t>
      </w:r>
      <w:r w:rsidRPr="007D5CDA">
        <w:rPr>
          <w:rFonts w:ascii="Palatino Linotype" w:hAnsi="Palatino Linotype" w:cs="Arial"/>
          <w:b/>
          <w:bCs/>
          <w:i/>
        </w:rPr>
        <w:t>El costo de los materiales utilizados en la reproducción</w:t>
      </w:r>
      <w:r w:rsidRPr="007D5CDA">
        <w:rPr>
          <w:rFonts w:ascii="Palatino Linotype" w:hAnsi="Palatino Linotype" w:cs="Arial"/>
          <w:bCs/>
          <w:i/>
        </w:rPr>
        <w:t xml:space="preserve"> de la información;</w:t>
      </w:r>
    </w:p>
    <w:p w:rsidR="00A21967" w:rsidRPr="007D5CDA" w:rsidRDefault="00A21967" w:rsidP="00A21967">
      <w:pPr>
        <w:autoSpaceDE w:val="0"/>
        <w:autoSpaceDN w:val="0"/>
        <w:adjustRightInd w:val="0"/>
        <w:spacing w:line="360" w:lineRule="auto"/>
        <w:ind w:left="851" w:right="902"/>
        <w:jc w:val="both"/>
        <w:rPr>
          <w:rFonts w:ascii="Palatino Linotype" w:hAnsi="Palatino Linotype" w:cs="Arial"/>
          <w:bCs/>
          <w:i/>
        </w:rPr>
      </w:pPr>
      <w:r w:rsidRPr="007D5CDA">
        <w:rPr>
          <w:rFonts w:ascii="Palatino Linotype" w:hAnsi="Palatino Linotype" w:cs="Arial"/>
          <w:b/>
          <w:bCs/>
          <w:i/>
        </w:rPr>
        <w:t>II.</w:t>
      </w:r>
      <w:r w:rsidRPr="007D5CDA">
        <w:rPr>
          <w:rFonts w:ascii="Palatino Linotype" w:hAnsi="Palatino Linotype" w:cs="Arial"/>
          <w:bCs/>
          <w:i/>
        </w:rPr>
        <w:t xml:space="preserve"> </w:t>
      </w:r>
      <w:r w:rsidRPr="007D5CDA">
        <w:rPr>
          <w:rFonts w:ascii="Palatino Linotype" w:hAnsi="Palatino Linotype" w:cs="Arial"/>
          <w:b/>
          <w:bCs/>
          <w:i/>
        </w:rPr>
        <w:t>El costo de envío</w:t>
      </w:r>
      <w:r w:rsidRPr="007D5CDA">
        <w:rPr>
          <w:rFonts w:ascii="Palatino Linotype" w:hAnsi="Palatino Linotype" w:cs="Arial"/>
          <w:bCs/>
          <w:i/>
        </w:rPr>
        <w:t>, en su caso; y</w:t>
      </w:r>
    </w:p>
    <w:p w:rsidR="00A21967" w:rsidRPr="007D5CDA" w:rsidRDefault="00A21967" w:rsidP="00A21967">
      <w:pPr>
        <w:autoSpaceDE w:val="0"/>
        <w:autoSpaceDN w:val="0"/>
        <w:adjustRightInd w:val="0"/>
        <w:spacing w:line="360" w:lineRule="auto"/>
        <w:ind w:left="851" w:right="902"/>
        <w:jc w:val="both"/>
        <w:rPr>
          <w:rFonts w:ascii="Palatino Linotype" w:hAnsi="Palatino Linotype" w:cs="Arial"/>
          <w:bCs/>
          <w:i/>
        </w:rPr>
      </w:pPr>
      <w:r w:rsidRPr="007D5CDA">
        <w:rPr>
          <w:rFonts w:ascii="Palatino Linotype" w:hAnsi="Palatino Linotype" w:cs="Arial"/>
          <w:b/>
          <w:bCs/>
          <w:i/>
        </w:rPr>
        <w:t>III.</w:t>
      </w:r>
      <w:r w:rsidRPr="007D5CDA">
        <w:rPr>
          <w:rFonts w:ascii="Palatino Linotype" w:hAnsi="Palatino Linotype" w:cs="Arial"/>
          <w:bCs/>
          <w:i/>
        </w:rPr>
        <w:t xml:space="preserve"> </w:t>
      </w:r>
      <w:r w:rsidRPr="007D5CDA">
        <w:rPr>
          <w:rFonts w:ascii="Palatino Linotype" w:hAnsi="Palatino Linotype" w:cs="Arial"/>
          <w:b/>
          <w:bCs/>
          <w:i/>
        </w:rPr>
        <w:t>El pago de la certificación de los documentos</w:t>
      </w:r>
      <w:r w:rsidRPr="007D5CDA">
        <w:rPr>
          <w:rFonts w:ascii="Palatino Linotype" w:hAnsi="Palatino Linotype" w:cs="Arial"/>
          <w:bCs/>
          <w:i/>
        </w:rPr>
        <w:t>, cuando proceda.</w:t>
      </w:r>
    </w:p>
    <w:p w:rsidR="00A21967" w:rsidRPr="007D5CDA" w:rsidRDefault="00A21967" w:rsidP="00A21967">
      <w:pPr>
        <w:spacing w:before="240" w:after="240" w:line="360" w:lineRule="auto"/>
        <w:ind w:left="851" w:right="902"/>
        <w:jc w:val="both"/>
        <w:rPr>
          <w:rFonts w:ascii="Palatino Linotype" w:hAnsi="Palatino Linotype" w:cs="Arial"/>
        </w:rPr>
      </w:pPr>
      <w:r w:rsidRPr="007D5CDA">
        <w:rPr>
          <w:rFonts w:ascii="Palatino Linotype" w:hAnsi="Palatino Linotype" w:cs="Arial"/>
          <w:bCs/>
          <w:i/>
        </w:rPr>
        <w:lastRenderedPageBreak/>
        <w:t xml:space="preserve">Las cuotas de los derechos aplicables deberán establecerse, en su caso, en el </w:t>
      </w:r>
      <w:r w:rsidRPr="007D5CDA">
        <w:rPr>
          <w:rFonts w:ascii="Palatino Linotype" w:hAnsi="Palatino Linotype" w:cs="Arial"/>
          <w:b/>
          <w:bCs/>
          <w:i/>
        </w:rPr>
        <w:t>Código Financiero del Estado de México y Municipios</w:t>
      </w:r>
      <w:r w:rsidRPr="007D5CDA">
        <w:rPr>
          <w:rFonts w:ascii="Palatino Linotype" w:hAnsi="Palatino Linotype" w:cs="Arial"/>
          <w:bCs/>
          <w:i/>
        </w:rPr>
        <w:t xml:space="preserve"> y demás disposiciones jurídicas aplicables, las cuales se publicarán en los sitios de internet de los sujetos obligados…”</w:t>
      </w:r>
      <w:r w:rsidRPr="007D5CDA">
        <w:rPr>
          <w:rFonts w:ascii="Palatino Linotype" w:hAnsi="Palatino Linotype" w:cs="Arial"/>
        </w:rPr>
        <w:t xml:space="preserve"> </w:t>
      </w:r>
    </w:p>
    <w:p w:rsidR="00A21967" w:rsidRPr="006C13C2" w:rsidRDefault="00A21967" w:rsidP="00A21967">
      <w:pPr>
        <w:spacing w:before="240" w:after="240" w:line="360" w:lineRule="auto"/>
        <w:jc w:val="both"/>
        <w:rPr>
          <w:rFonts w:ascii="Palatino Linotype" w:hAnsi="Palatino Linotype"/>
          <w:sz w:val="24"/>
        </w:rPr>
      </w:pPr>
      <w:r w:rsidRPr="006C13C2">
        <w:rPr>
          <w:rFonts w:ascii="Palatino Linotype" w:hAnsi="Palatino Linotype"/>
          <w:sz w:val="24"/>
        </w:rPr>
        <w:t>Del precepto anterior se puede desprender que la Ley d</w:t>
      </w:r>
      <w:r w:rsidR="00934DD5" w:rsidRPr="006C13C2">
        <w:rPr>
          <w:rFonts w:ascii="Palatino Linotype" w:hAnsi="Palatino Linotype"/>
          <w:sz w:val="24"/>
        </w:rPr>
        <w:t>e la Materia estableció el cobro</w:t>
      </w:r>
      <w:r w:rsidRPr="006C13C2">
        <w:rPr>
          <w:rFonts w:ascii="Palatino Linotype" w:hAnsi="Palatino Linotype"/>
          <w:sz w:val="24"/>
        </w:rPr>
        <w:t xml:space="preserve"> de derechos para la entrega de la información con el objeto de que se cubran los costos de los materiales utilizados en la reproducción de la información, el costo por </w:t>
      </w:r>
      <w:proofErr w:type="spellStart"/>
      <w:r w:rsidRPr="006C13C2">
        <w:rPr>
          <w:rFonts w:ascii="Palatino Linotype" w:hAnsi="Palatino Linotype"/>
          <w:sz w:val="24"/>
        </w:rPr>
        <w:t>el</w:t>
      </w:r>
      <w:proofErr w:type="spellEnd"/>
      <w:r w:rsidRPr="006C13C2">
        <w:rPr>
          <w:rFonts w:ascii="Palatino Linotype" w:hAnsi="Palatino Linotype"/>
          <w:sz w:val="24"/>
        </w:rPr>
        <w:t xml:space="preserve"> envió de la misma </w:t>
      </w:r>
    </w:p>
    <w:p w:rsidR="00A21967" w:rsidRPr="006C13C2" w:rsidRDefault="00A21967" w:rsidP="00A21967">
      <w:pPr>
        <w:spacing w:before="240" w:after="240" w:line="360" w:lineRule="auto"/>
        <w:jc w:val="both"/>
        <w:rPr>
          <w:rFonts w:ascii="Palatino Linotype" w:hAnsi="Palatino Linotype"/>
          <w:sz w:val="24"/>
        </w:rPr>
      </w:pPr>
      <w:r w:rsidRPr="006C13C2">
        <w:rPr>
          <w:rFonts w:ascii="Palatino Linotype" w:hAnsi="Palatino Linotype"/>
          <w:sz w:val="24"/>
        </w:rPr>
        <w:t xml:space="preserve">o el pago por la certificación; sin embargo en el caso particular que se comenta no se estima que se actualice ninguno de esos supuestos y </w:t>
      </w:r>
      <w:r w:rsidRPr="006C13C2">
        <w:rPr>
          <w:rFonts w:ascii="Palatino Linotype" w:hAnsi="Palatino Linotype"/>
          <w:b/>
          <w:sz w:val="24"/>
          <w:u w:val="single"/>
        </w:rPr>
        <w:t>no debe perderse de vista que la parte solicitante requirió la información a través del SAIMEX</w:t>
      </w:r>
      <w:r w:rsidRPr="006C13C2">
        <w:rPr>
          <w:rFonts w:ascii="Palatino Linotype" w:hAnsi="Palatino Linotype"/>
          <w:sz w:val="24"/>
        </w:rPr>
        <w:t>, por lo que ello únicamente implica la digitalización o escaneo de la información a entregar, lo cual no conlleva la utilización de materiales que generen un costo para el Sujeto O</w:t>
      </w:r>
      <w:r w:rsidR="00934DD5" w:rsidRPr="006C13C2">
        <w:rPr>
          <w:rFonts w:ascii="Palatino Linotype" w:hAnsi="Palatino Linotype"/>
          <w:sz w:val="24"/>
        </w:rPr>
        <w:t>bligado</w:t>
      </w:r>
      <w:r w:rsidRPr="006C13C2">
        <w:rPr>
          <w:rFonts w:ascii="Palatino Linotype" w:hAnsi="Palatino Linotype"/>
          <w:sz w:val="24"/>
        </w:rPr>
        <w:t xml:space="preserve">; así tampoco se genera un gasto por </w:t>
      </w:r>
      <w:proofErr w:type="spellStart"/>
      <w:r w:rsidRPr="006C13C2">
        <w:rPr>
          <w:rFonts w:ascii="Palatino Linotype" w:hAnsi="Palatino Linotype"/>
          <w:sz w:val="24"/>
        </w:rPr>
        <w:t>el</w:t>
      </w:r>
      <w:proofErr w:type="spellEnd"/>
      <w:r w:rsidRPr="006C13C2">
        <w:rPr>
          <w:rFonts w:ascii="Palatino Linotype" w:hAnsi="Palatino Linotype"/>
          <w:sz w:val="24"/>
        </w:rPr>
        <w:t xml:space="preserve">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actualiza el cobro por certificación, ya que la parte solicitante no requirió la entrega en alguna modalidad que requiera menoscabo alguno al Sujeto Obligado.</w:t>
      </w:r>
    </w:p>
    <w:p w:rsidR="00A21967" w:rsidRPr="006C13C2" w:rsidRDefault="00A21967" w:rsidP="00A21967">
      <w:pPr>
        <w:spacing w:before="240" w:after="240" w:line="360" w:lineRule="auto"/>
        <w:jc w:val="both"/>
        <w:rPr>
          <w:rFonts w:ascii="Palatino Linotype" w:hAnsi="Palatino Linotype" w:cs="Arial"/>
          <w:sz w:val="24"/>
        </w:rPr>
      </w:pPr>
      <w:r w:rsidRPr="006C13C2">
        <w:rPr>
          <w:rFonts w:ascii="Palatino Linotype" w:hAnsi="Palatino Linotype"/>
          <w:sz w:val="24"/>
        </w:rPr>
        <w:lastRenderedPageBreak/>
        <w:t xml:space="preserve">Aunado a lo anterior, </w:t>
      </w:r>
      <w:r w:rsidRPr="006C13C2">
        <w:rPr>
          <w:rFonts w:ascii="Palatino Linotype" w:hAnsi="Palatino Linotype" w:cs="Arial"/>
          <w:sz w:val="24"/>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6C13C2">
        <w:rPr>
          <w:rFonts w:ascii="Palatino Linotype" w:hAnsi="Palatino Linotype" w:cs="Arial"/>
          <w:b/>
          <w:sz w:val="24"/>
        </w:rPr>
        <w:t xml:space="preserve">, </w:t>
      </w:r>
      <w:r w:rsidRPr="006C13C2">
        <w:rPr>
          <w:rFonts w:ascii="Palatino Linotype" w:hAnsi="Palatino Linotype" w:cs="Arial"/>
          <w:sz w:val="24"/>
        </w:rPr>
        <w:t>incluyendo aquella que se hubiera digitalizado previamente por cualquier motivo, y aún menos en aquellos casos en que la modalidad de entrega sea por medio de la plataforma o vía electrónica.</w:t>
      </w:r>
    </w:p>
    <w:p w:rsidR="00A21967" w:rsidRPr="006C13C2" w:rsidRDefault="00A21967" w:rsidP="00A21967">
      <w:pPr>
        <w:spacing w:before="240" w:after="240" w:line="360" w:lineRule="auto"/>
        <w:jc w:val="both"/>
        <w:rPr>
          <w:rFonts w:ascii="Palatino Linotype" w:hAnsi="Palatino Linotype"/>
          <w:color w:val="000000"/>
          <w:sz w:val="24"/>
        </w:rPr>
      </w:pPr>
      <w:r w:rsidRPr="006C13C2">
        <w:rPr>
          <w:rFonts w:ascii="Palatino Linotype" w:hAnsi="Palatino Linotype" w:cs="Arial"/>
          <w:sz w:val="24"/>
        </w:rPr>
        <w:t xml:space="preserve">Por lo que </w:t>
      </w:r>
      <w:r w:rsidR="00AE38E6" w:rsidRPr="006C13C2">
        <w:rPr>
          <w:rFonts w:ascii="Palatino Linotype" w:hAnsi="Palatino Linotype" w:cs="Arial"/>
          <w:sz w:val="24"/>
        </w:rPr>
        <w:t xml:space="preserve">en el presente asunto no procede la requisición de </w:t>
      </w:r>
      <w:r w:rsidRPr="006C13C2">
        <w:rPr>
          <w:rFonts w:ascii="Palatino Linotype" w:hAnsi="Palatino Linotype" w:cs="Arial"/>
          <w:sz w:val="24"/>
        </w:rPr>
        <w:t xml:space="preserve">un pago para entregar la información vía </w:t>
      </w:r>
      <w:proofErr w:type="spellStart"/>
      <w:r w:rsidRPr="006C13C2">
        <w:rPr>
          <w:rFonts w:ascii="Palatino Linotype" w:hAnsi="Palatino Linotype" w:cs="Arial"/>
          <w:sz w:val="24"/>
        </w:rPr>
        <w:t>Saimex</w:t>
      </w:r>
      <w:proofErr w:type="spellEnd"/>
      <w:r w:rsidR="00AE38E6" w:rsidRPr="006C13C2">
        <w:rPr>
          <w:rFonts w:ascii="Palatino Linotype" w:hAnsi="Palatino Linotype" w:cs="Arial"/>
          <w:sz w:val="24"/>
        </w:rPr>
        <w:t xml:space="preserve">, -ni ordenar la información vía copias, ya que  la parte recurrente no la solicitó en dicha modalidad-, </w:t>
      </w:r>
      <w:r w:rsidRPr="006C13C2">
        <w:rPr>
          <w:rFonts w:ascii="Palatino Linotype" w:hAnsi="Palatino Linotype"/>
          <w:color w:val="000000"/>
          <w:sz w:val="24"/>
        </w:rPr>
        <w:t xml:space="preserve">debido a que dicho sistema fue creado para facilitar el registro y atención de las solicitudes de información, y </w:t>
      </w:r>
      <w:r w:rsidRPr="006C13C2">
        <w:rPr>
          <w:rFonts w:ascii="Palatino Linotype" w:hAnsi="Palatino Linotype" w:cs="Arial"/>
          <w:sz w:val="24"/>
        </w:rPr>
        <w:t xml:space="preserve">es su obligación trasladar la </w:t>
      </w:r>
      <w:r w:rsidRPr="006C13C2">
        <w:rPr>
          <w:rFonts w:ascii="Palatino Linotype" w:hAnsi="Palatino Linotype"/>
          <w:color w:val="000000"/>
          <w:sz w:val="24"/>
        </w:rPr>
        <w:t xml:space="preserve">información de un soporte físico a uno electrónico y cuidar que los medios electrónicos o impresos en los que conste tanto información pública, </w:t>
      </w:r>
      <w:r w:rsidRPr="006C13C2">
        <w:rPr>
          <w:rFonts w:ascii="Palatino Linotype" w:hAnsi="Palatino Linotype"/>
          <w:color w:val="000000"/>
          <w:sz w:val="24"/>
        </w:rPr>
        <w:lastRenderedPageBreak/>
        <w:t>como confidencial y reservada se entreguen en versión pública en los casos que eso resulte necesario.</w:t>
      </w:r>
    </w:p>
    <w:p w:rsidR="00A21967" w:rsidRPr="006C13C2" w:rsidRDefault="00A21967" w:rsidP="00A21967">
      <w:pPr>
        <w:spacing w:before="240" w:after="240" w:line="360" w:lineRule="auto"/>
        <w:jc w:val="both"/>
        <w:rPr>
          <w:rFonts w:ascii="Palatino Linotype" w:hAnsi="Palatino Linotype" w:cs="Arial"/>
          <w:sz w:val="24"/>
        </w:rPr>
      </w:pPr>
      <w:r w:rsidRPr="006C13C2">
        <w:rPr>
          <w:rFonts w:ascii="Palatino Linotype" w:hAnsi="Palatino Linotype" w:cs="Arial"/>
          <w:sz w:val="24"/>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w:t>
      </w:r>
      <w:r w:rsidR="00AE38E6" w:rsidRPr="006C13C2">
        <w:rPr>
          <w:rFonts w:ascii="Palatino Linotype" w:hAnsi="Palatino Linotype" w:cs="Arial"/>
          <w:sz w:val="24"/>
        </w:rPr>
        <w:t>cas para los Sujetos Obligados</w:t>
      </w:r>
      <w:r w:rsidRPr="006C13C2">
        <w:rPr>
          <w:rFonts w:ascii="Palatino Linotype" w:hAnsi="Palatino Linotype" w:cs="Arial"/>
          <w:sz w:val="24"/>
        </w:rPr>
        <w:t>, en ese sentido se estaría condicionando a un pago el derecho humano de acceso a la información pública en los casos no previstos por la Ley y que en su mayoría resultan de interés público.</w:t>
      </w:r>
    </w:p>
    <w:p w:rsidR="00A21967" w:rsidRDefault="00A21967" w:rsidP="00A21967">
      <w:pPr>
        <w:spacing w:before="240" w:after="240" w:line="360" w:lineRule="auto"/>
        <w:jc w:val="both"/>
        <w:rPr>
          <w:rFonts w:ascii="Palatino Linotype" w:hAnsi="Palatino Linotype"/>
          <w:sz w:val="24"/>
        </w:rPr>
      </w:pPr>
      <w:r w:rsidRPr="006C13C2">
        <w:rPr>
          <w:rFonts w:ascii="Palatino Linotype" w:hAnsi="Palatino Linotype"/>
          <w:color w:val="000000"/>
          <w:sz w:val="24"/>
        </w:rPr>
        <w:t xml:space="preserve">Bajo esta óptica, el </w:t>
      </w:r>
      <w:r w:rsidRPr="006C13C2">
        <w:rPr>
          <w:rFonts w:ascii="Palatino Linotype" w:hAnsi="Palatino Linotype"/>
          <w:sz w:val="24"/>
        </w:rPr>
        <w:t xml:space="preserve">derecho del particular de acceder a los documentos que obran en posesión del Sujeto Obligado se encuentra limitado, en virtud de que no le fue proporcionada la información solicitada, </w:t>
      </w:r>
      <w:r w:rsidRPr="006C13C2">
        <w:rPr>
          <w:rStyle w:val="Hipervnculo"/>
          <w:rFonts w:ascii="Palatino Linotype" w:hAnsi="Palatino Linotype" w:cs="Arial"/>
          <w:bCs/>
          <w:color w:val="auto"/>
          <w:sz w:val="24"/>
          <w:u w:val="none"/>
        </w:rPr>
        <w:t>incumpliendo así lo previsto en el artículo 4 de la Ley de la Materia, t</w:t>
      </w:r>
      <w:r w:rsidRPr="006C13C2">
        <w:rPr>
          <w:rFonts w:ascii="Palatino Linotype" w:hAnsi="Palatino Linotype"/>
          <w:sz w:val="24"/>
        </w:rPr>
        <w:t xml:space="preserve">oda vez que el </w:t>
      </w:r>
      <w:r w:rsidRPr="006C13C2">
        <w:rPr>
          <w:rFonts w:ascii="Palatino Linotype" w:hAnsi="Palatino Linotype" w:cs="Arial"/>
          <w:sz w:val="24"/>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6C13C2">
        <w:rPr>
          <w:rFonts w:ascii="Palatino Linotype" w:hAnsi="Palatino Linotype"/>
          <w:sz w:val="24"/>
        </w:rPr>
        <w:t xml:space="preserve">, al establecer que toda información en posesión de cualquier autoridad, entidad, órgano y organismo </w:t>
      </w:r>
      <w:r w:rsidRPr="006C13C2">
        <w:rPr>
          <w:rFonts w:ascii="Palatino Linotype" w:hAnsi="Palatino Linotype"/>
          <w:sz w:val="24"/>
        </w:rPr>
        <w:lastRenderedPageBreak/>
        <w:t>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6C13C2" w:rsidRPr="006953D2" w:rsidRDefault="006C13C2" w:rsidP="00A21967">
      <w:pPr>
        <w:spacing w:before="240" w:after="240" w:line="360" w:lineRule="auto"/>
        <w:jc w:val="both"/>
        <w:rPr>
          <w:rFonts w:ascii="Palatino Linotype" w:hAnsi="Palatino Linotype" w:cs="Arial"/>
          <w:bCs/>
          <w:color w:val="000000" w:themeColor="text1"/>
          <w:sz w:val="24"/>
        </w:rPr>
      </w:pPr>
      <w:r>
        <w:rPr>
          <w:rStyle w:val="Hipervnculo"/>
          <w:rFonts w:ascii="Palatino Linotype" w:hAnsi="Palatino Linotype" w:cs="Arial"/>
          <w:bCs/>
          <w:color w:val="000000" w:themeColor="text1"/>
          <w:sz w:val="24"/>
          <w:u w:val="none"/>
        </w:rPr>
        <w:t xml:space="preserve">Finalmente, </w:t>
      </w:r>
      <w:r w:rsidRPr="006C13C2">
        <w:rPr>
          <w:rStyle w:val="Hipervnculo"/>
          <w:rFonts w:ascii="Palatino Linotype" w:hAnsi="Palatino Linotype" w:cs="Arial"/>
          <w:bCs/>
          <w:color w:val="000000" w:themeColor="text1"/>
          <w:sz w:val="24"/>
          <w:u w:val="none"/>
        </w:rPr>
        <w:t xml:space="preserve">respecto del análisis que hace la </w:t>
      </w:r>
      <w:r w:rsidRPr="006C13C2">
        <w:rPr>
          <w:rFonts w:ascii="Palatino Linotype" w:hAnsi="Palatino Linotype"/>
          <w:sz w:val="24"/>
        </w:rPr>
        <w:t xml:space="preserve">Ponencia </w:t>
      </w:r>
      <w:proofErr w:type="spellStart"/>
      <w:r w:rsidRPr="006C13C2">
        <w:rPr>
          <w:rFonts w:ascii="Palatino Linotype" w:hAnsi="Palatino Linotype"/>
          <w:sz w:val="24"/>
        </w:rPr>
        <w:t>Resolutora</w:t>
      </w:r>
      <w:proofErr w:type="spellEnd"/>
      <w:r w:rsidRPr="006C13C2">
        <w:rPr>
          <w:rStyle w:val="Hipervnculo"/>
          <w:rFonts w:ascii="Palatino Linotype" w:hAnsi="Palatino Linotype" w:cs="Arial"/>
          <w:bCs/>
          <w:color w:val="000000" w:themeColor="text1"/>
          <w:sz w:val="24"/>
          <w:u w:val="none"/>
        </w:rPr>
        <w:t xml:space="preserve"> en donde si bien en las solicitudes de información la parte recurrente menciona en su requerimiento que solicita copias, la modalidad de entrega de información, señala a través del SAIMEX, por lo tanto la ponencia debió suplir la deficiencia, en términos de los artículos 13 y 181 de la Ley de la materia y ordenar la entrega de la información vía SAIMEX, sin cobro.</w:t>
      </w:r>
    </w:p>
    <w:p w:rsidR="00E23F48" w:rsidRPr="006953D2" w:rsidRDefault="00A21967" w:rsidP="006953D2">
      <w:pPr>
        <w:spacing w:before="240" w:after="0" w:line="360" w:lineRule="auto"/>
        <w:jc w:val="both"/>
        <w:rPr>
          <w:rFonts w:ascii="Palatino Linotype" w:hAnsi="Palatino Linotype" w:cs="Arial"/>
          <w:sz w:val="24"/>
        </w:rPr>
      </w:pPr>
      <w:r w:rsidRPr="006C13C2">
        <w:rPr>
          <w:rFonts w:ascii="Palatino Linotype" w:hAnsi="Palatino Linotype" w:cs="Arial"/>
          <w:sz w:val="24"/>
        </w:rPr>
        <w:t>Por todo lo expuesto es que formulamos el presente voto particular</w:t>
      </w:r>
      <w:r w:rsidR="006C13C2" w:rsidRPr="006C13C2">
        <w:rPr>
          <w:rFonts w:ascii="Palatino Linotype" w:hAnsi="Palatino Linotype" w:cs="Arial"/>
          <w:sz w:val="24"/>
        </w:rPr>
        <w:t xml:space="preserve"> concurrente</w:t>
      </w:r>
      <w:r w:rsidRPr="006C13C2">
        <w:rPr>
          <w:rFonts w:ascii="Palatino Linotype" w:hAnsi="Palatino Linotype" w:cs="Arial"/>
          <w:sz w:val="24"/>
        </w:rPr>
        <w:t xml:space="preserve">, en los términos precisados, tomando en cuenta que las consideraciones aquí expuestas hubieran resultado importantes para ordenar la entrega de la información motivo del recurso de revisión que fue resuelto por el Pleno de este Instituto, mencionado. </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E23F48" w:rsidTr="00E23F48">
        <w:trPr>
          <w:trHeight w:val="2329"/>
        </w:trPr>
        <w:tc>
          <w:tcPr>
            <w:tcW w:w="4463" w:type="dxa"/>
          </w:tcPr>
          <w:p w:rsidR="00E23F48" w:rsidRDefault="00E23F48" w:rsidP="00E23F48">
            <w:pPr>
              <w:jc w:val="center"/>
              <w:rPr>
                <w:rFonts w:ascii="Palatino Linotype" w:hAnsi="Palatino Linotype"/>
                <w:sz w:val="24"/>
              </w:rPr>
            </w:pPr>
          </w:p>
          <w:p w:rsidR="00E23F48" w:rsidRDefault="00E23F48" w:rsidP="00E23F48">
            <w:pPr>
              <w:jc w:val="center"/>
              <w:rPr>
                <w:rFonts w:ascii="Palatino Linotype" w:hAnsi="Palatino Linotype"/>
                <w:sz w:val="24"/>
              </w:rPr>
            </w:pPr>
          </w:p>
          <w:p w:rsidR="002B2DF8" w:rsidRDefault="002B2DF8" w:rsidP="00E23F48">
            <w:pPr>
              <w:jc w:val="center"/>
              <w:rPr>
                <w:rFonts w:ascii="Palatino Linotype" w:hAnsi="Palatino Linotype"/>
                <w:b/>
                <w:sz w:val="24"/>
              </w:rPr>
            </w:pPr>
          </w:p>
          <w:p w:rsidR="002B2DF8" w:rsidRDefault="002B2DF8" w:rsidP="00E23F48">
            <w:pPr>
              <w:jc w:val="center"/>
              <w:rPr>
                <w:rFonts w:ascii="Palatino Linotype" w:hAnsi="Palatino Linotype"/>
                <w:b/>
                <w:sz w:val="24"/>
              </w:rPr>
            </w:pPr>
          </w:p>
          <w:p w:rsidR="002B2DF8" w:rsidRDefault="002B2DF8" w:rsidP="00E23F48">
            <w:pPr>
              <w:jc w:val="center"/>
              <w:rPr>
                <w:rFonts w:ascii="Palatino Linotype" w:hAnsi="Palatino Linotype"/>
                <w:b/>
                <w:sz w:val="24"/>
              </w:rPr>
            </w:pPr>
          </w:p>
          <w:p w:rsidR="002B2DF8" w:rsidRDefault="002B2DF8" w:rsidP="00E23F48">
            <w:pPr>
              <w:jc w:val="center"/>
              <w:rPr>
                <w:rFonts w:ascii="Palatino Linotype" w:hAnsi="Palatino Linotype"/>
                <w:b/>
                <w:sz w:val="24"/>
              </w:rPr>
            </w:pPr>
          </w:p>
          <w:p w:rsidR="00E23F48" w:rsidRPr="00E23F48" w:rsidRDefault="00E23F48" w:rsidP="00E23F48">
            <w:pPr>
              <w:jc w:val="center"/>
              <w:rPr>
                <w:rFonts w:ascii="Palatino Linotype" w:hAnsi="Palatino Linotype"/>
                <w:b/>
                <w:sz w:val="24"/>
              </w:rPr>
            </w:pPr>
            <w:r w:rsidRPr="00E23F48">
              <w:rPr>
                <w:rFonts w:ascii="Palatino Linotype" w:hAnsi="Palatino Linotype"/>
                <w:b/>
                <w:sz w:val="24"/>
              </w:rPr>
              <w:t>José Guadalupe Luna Hernández</w:t>
            </w:r>
          </w:p>
          <w:p w:rsidR="00E23F48" w:rsidRPr="00E23F48" w:rsidRDefault="00E23F48" w:rsidP="00E23F48">
            <w:pPr>
              <w:jc w:val="center"/>
              <w:rPr>
                <w:rFonts w:ascii="Palatino Linotype" w:hAnsi="Palatino Linotype"/>
                <w:b/>
                <w:sz w:val="24"/>
              </w:rPr>
            </w:pPr>
            <w:r w:rsidRPr="00E23F48">
              <w:rPr>
                <w:rFonts w:ascii="Palatino Linotype" w:hAnsi="Palatino Linotype"/>
                <w:b/>
                <w:sz w:val="24"/>
              </w:rPr>
              <w:t>Comisionado</w:t>
            </w:r>
          </w:p>
          <w:p w:rsidR="00E23F48" w:rsidRDefault="00E23F48" w:rsidP="00E23F48">
            <w:pPr>
              <w:jc w:val="center"/>
            </w:pPr>
            <w:r w:rsidRPr="00E23F48">
              <w:rPr>
                <w:rFonts w:ascii="Palatino Linotype" w:hAnsi="Palatino Linotype"/>
                <w:b/>
                <w:sz w:val="24"/>
              </w:rPr>
              <w:t>(Rúbrica)</w:t>
            </w:r>
          </w:p>
        </w:tc>
        <w:tc>
          <w:tcPr>
            <w:tcW w:w="4463" w:type="dxa"/>
          </w:tcPr>
          <w:p w:rsidR="00E23F48" w:rsidRDefault="00E23F48" w:rsidP="00E23F48">
            <w:pPr>
              <w:jc w:val="center"/>
              <w:rPr>
                <w:rFonts w:ascii="Palatino Linotype" w:hAnsi="Palatino Linotype"/>
                <w:sz w:val="24"/>
              </w:rPr>
            </w:pPr>
          </w:p>
          <w:p w:rsidR="00E23F48" w:rsidRDefault="00E23F48" w:rsidP="00E23F48">
            <w:pPr>
              <w:jc w:val="center"/>
              <w:rPr>
                <w:rFonts w:ascii="Palatino Linotype" w:hAnsi="Palatino Linotype"/>
                <w:sz w:val="24"/>
              </w:rPr>
            </w:pPr>
          </w:p>
          <w:p w:rsidR="002B2DF8" w:rsidRDefault="002B2DF8" w:rsidP="00E23F48">
            <w:pPr>
              <w:jc w:val="center"/>
              <w:rPr>
                <w:rFonts w:ascii="Palatino Linotype" w:hAnsi="Palatino Linotype"/>
                <w:b/>
                <w:sz w:val="24"/>
              </w:rPr>
            </w:pPr>
          </w:p>
          <w:p w:rsidR="002B2DF8" w:rsidRDefault="002B2DF8" w:rsidP="00E23F48">
            <w:pPr>
              <w:jc w:val="center"/>
              <w:rPr>
                <w:rFonts w:ascii="Palatino Linotype" w:hAnsi="Palatino Linotype"/>
                <w:b/>
                <w:sz w:val="24"/>
              </w:rPr>
            </w:pPr>
          </w:p>
          <w:p w:rsidR="002B2DF8" w:rsidRDefault="002B2DF8" w:rsidP="00E23F48">
            <w:pPr>
              <w:jc w:val="center"/>
              <w:rPr>
                <w:rFonts w:ascii="Palatino Linotype" w:hAnsi="Palatino Linotype"/>
                <w:b/>
                <w:sz w:val="24"/>
              </w:rPr>
            </w:pPr>
          </w:p>
          <w:p w:rsidR="002B2DF8" w:rsidRDefault="002B2DF8" w:rsidP="00E23F48">
            <w:pPr>
              <w:jc w:val="center"/>
              <w:rPr>
                <w:rFonts w:ascii="Palatino Linotype" w:hAnsi="Palatino Linotype"/>
                <w:b/>
                <w:sz w:val="24"/>
              </w:rPr>
            </w:pPr>
          </w:p>
          <w:p w:rsidR="00E23F48" w:rsidRPr="00E23F48" w:rsidRDefault="00E23F48" w:rsidP="00E23F48">
            <w:pPr>
              <w:jc w:val="center"/>
              <w:rPr>
                <w:rFonts w:ascii="Palatino Linotype" w:hAnsi="Palatino Linotype"/>
                <w:b/>
                <w:sz w:val="24"/>
              </w:rPr>
            </w:pPr>
            <w:r>
              <w:rPr>
                <w:rFonts w:ascii="Palatino Linotype" w:hAnsi="Palatino Linotype"/>
                <w:b/>
                <w:sz w:val="24"/>
              </w:rPr>
              <w:t>Javier Martínez Cruz</w:t>
            </w:r>
          </w:p>
          <w:p w:rsidR="00E23F48" w:rsidRPr="00E23F48" w:rsidRDefault="00E23F48" w:rsidP="00E23F48">
            <w:pPr>
              <w:jc w:val="center"/>
              <w:rPr>
                <w:rFonts w:ascii="Palatino Linotype" w:hAnsi="Palatino Linotype"/>
                <w:b/>
                <w:sz w:val="24"/>
              </w:rPr>
            </w:pPr>
            <w:r w:rsidRPr="00E23F48">
              <w:rPr>
                <w:rFonts w:ascii="Palatino Linotype" w:hAnsi="Palatino Linotype"/>
                <w:b/>
                <w:sz w:val="24"/>
              </w:rPr>
              <w:t>Comisionado</w:t>
            </w:r>
          </w:p>
          <w:p w:rsidR="00E23F48" w:rsidRDefault="00E23F48" w:rsidP="00E23F48">
            <w:pPr>
              <w:jc w:val="center"/>
            </w:pPr>
            <w:r w:rsidRPr="00E23F48">
              <w:rPr>
                <w:rFonts w:ascii="Palatino Linotype" w:hAnsi="Palatino Linotype"/>
                <w:b/>
                <w:sz w:val="24"/>
              </w:rPr>
              <w:t>(Rúbrica)</w:t>
            </w:r>
          </w:p>
        </w:tc>
      </w:tr>
    </w:tbl>
    <w:p w:rsidR="00A35CD7" w:rsidRDefault="00A35CD7"/>
    <w:sectPr w:rsidR="00A35CD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EE2" w:rsidRDefault="00194EE2" w:rsidP="00A35CD7">
      <w:pPr>
        <w:spacing w:after="0" w:line="240" w:lineRule="auto"/>
      </w:pPr>
      <w:r>
        <w:separator/>
      </w:r>
    </w:p>
  </w:endnote>
  <w:endnote w:type="continuationSeparator" w:id="0">
    <w:p w:rsidR="00194EE2" w:rsidRDefault="00194EE2" w:rsidP="00A3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4E4" w:rsidRDefault="00F224E4" w:rsidP="00721ACC">
    <w:pPr>
      <w:tabs>
        <w:tab w:val="center" w:pos="4419"/>
        <w:tab w:val="right" w:pos="8838"/>
      </w:tabs>
      <w:spacing w:after="0" w:line="240" w:lineRule="auto"/>
      <w:jc w:val="center"/>
      <w:rPr>
        <w:rFonts w:ascii="Arial" w:eastAsia="Calibri" w:hAnsi="Arial" w:cs="Arial"/>
        <w:b/>
        <w:bCs/>
        <w:sz w:val="20"/>
        <w:szCs w:val="20"/>
        <w:lang w:val="es-ES" w:eastAsia="es-ES"/>
      </w:rPr>
    </w:pPr>
  </w:p>
  <w:p w:rsidR="00721ACC" w:rsidRDefault="00721ACC" w:rsidP="00721ACC">
    <w:pPr>
      <w:tabs>
        <w:tab w:val="center" w:pos="4419"/>
        <w:tab w:val="right" w:pos="8838"/>
      </w:tabs>
      <w:spacing w:after="0" w:line="240" w:lineRule="auto"/>
      <w:jc w:val="center"/>
      <w:rPr>
        <w:rFonts w:ascii="Arial" w:eastAsia="Calibri" w:hAnsi="Arial" w:cs="Arial"/>
        <w:b/>
        <w:bCs/>
        <w:sz w:val="20"/>
        <w:szCs w:val="20"/>
        <w:lang w:val="es-ES" w:eastAsia="es-ES"/>
      </w:rPr>
    </w:pPr>
  </w:p>
  <w:p w:rsidR="00721ACC" w:rsidRDefault="00721ACC" w:rsidP="00721ACC">
    <w:pPr>
      <w:tabs>
        <w:tab w:val="center" w:pos="4419"/>
        <w:tab w:val="right" w:pos="8838"/>
      </w:tabs>
      <w:spacing w:after="0" w:line="240" w:lineRule="auto"/>
      <w:jc w:val="center"/>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F224E4" w:rsidRDefault="00F224E4" w:rsidP="00B7621A">
    <w:pPr>
      <w:tabs>
        <w:tab w:val="center" w:pos="4419"/>
        <w:tab w:val="right" w:pos="8838"/>
      </w:tabs>
      <w:spacing w:after="0" w:line="240" w:lineRule="auto"/>
      <w:jc w:val="right"/>
      <w:rPr>
        <w:rFonts w:ascii="Arial" w:eastAsia="Calibri" w:hAnsi="Arial" w:cs="Arial"/>
        <w:b/>
        <w:bCs/>
        <w:sz w:val="20"/>
        <w:szCs w:val="20"/>
        <w:lang w:val="es-ES" w:eastAsia="es-ES"/>
      </w:rPr>
    </w:pPr>
  </w:p>
  <w:p w:rsidR="00B7621A" w:rsidRPr="00B7621A" w:rsidRDefault="00B7621A" w:rsidP="00B7621A">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422926">
      <w:rPr>
        <w:rFonts w:ascii="Arial" w:eastAsia="Calibri" w:hAnsi="Arial" w:cs="Arial"/>
        <w:b/>
        <w:bCs/>
        <w:noProof/>
        <w:sz w:val="20"/>
        <w:szCs w:val="20"/>
        <w:lang w:val="es-ES" w:eastAsia="es-ES"/>
      </w:rPr>
      <w:t>10</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422926">
      <w:rPr>
        <w:rFonts w:ascii="Arial" w:eastAsia="Calibri" w:hAnsi="Arial" w:cs="Arial"/>
        <w:b/>
        <w:bCs/>
        <w:noProof/>
        <w:sz w:val="20"/>
        <w:szCs w:val="20"/>
        <w:lang w:val="es-ES" w:eastAsia="es-ES"/>
      </w:rPr>
      <w:t>10</w:t>
    </w:r>
    <w:r w:rsidRPr="00B7621A">
      <w:rPr>
        <w:rFonts w:ascii="Arial" w:eastAsia="Calibri" w:hAnsi="Arial" w:cs="Arial"/>
        <w:b/>
        <w:bCs/>
        <w:sz w:val="20"/>
        <w:szCs w:val="20"/>
        <w:lang w:val="es-ES" w:eastAsia="es-ES"/>
      </w:rPr>
      <w:fldChar w:fldCharType="end"/>
    </w:r>
  </w:p>
  <w:p w:rsidR="00B7621A" w:rsidRDefault="00B762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EE2" w:rsidRDefault="00194EE2" w:rsidP="00A35CD7">
      <w:pPr>
        <w:spacing w:after="0" w:line="240" w:lineRule="auto"/>
      </w:pPr>
      <w:r>
        <w:separator/>
      </w:r>
    </w:p>
  </w:footnote>
  <w:footnote w:type="continuationSeparator" w:id="0">
    <w:p w:rsidR="00194EE2" w:rsidRDefault="00194EE2" w:rsidP="00A35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7" w:rsidRDefault="00194EE2" w:rsidP="00A35CD7">
    <w:pPr>
      <w:pStyle w:val="Encabezado"/>
      <w:jc w:val="right"/>
      <w:rPr>
        <w:rFonts w:ascii="Palatino Linotype" w:hAnsi="Palatino Linotype"/>
        <w:b/>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101.1pt;margin-top:-105.1pt;width:598.5pt;height:779.25pt;z-index:-251658752;mso-position-horizontal-relative:margin;mso-position-vertical-relative:margin" o:allowincell="f">
          <v:imagedata r:id="rId1" o:title="fondo opinion particular"/>
          <w10:wrap anchorx="margin" anchory="margin"/>
        </v:shape>
      </w:pict>
    </w:r>
    <w:r w:rsidR="00A35CD7">
      <w:rPr>
        <w:rFonts w:ascii="Palatino Linotype" w:hAnsi="Palatino Linotype"/>
        <w:b/>
      </w:rPr>
      <w:t>VOTO PARTICULAR CONCURRENTE</w:t>
    </w:r>
  </w:p>
  <w:p w:rsidR="00721ACC" w:rsidRDefault="00A35CD7" w:rsidP="00721ACC">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0903EB">
      <w:rPr>
        <w:rFonts w:ascii="Palatino Linotype" w:hAnsi="Palatino Linotype" w:cs="Arial"/>
        <w:b/>
        <w:bCs/>
        <w:sz w:val="24"/>
        <w:szCs w:val="24"/>
        <w:lang w:eastAsia="es-MX"/>
      </w:rPr>
      <w:t>02125</w:t>
    </w:r>
    <w:r w:rsidR="00F224E4">
      <w:rPr>
        <w:rFonts w:ascii="Palatino Linotype" w:hAnsi="Palatino Linotype" w:cs="Arial"/>
        <w:b/>
        <w:bCs/>
        <w:sz w:val="24"/>
        <w:szCs w:val="24"/>
        <w:lang w:eastAsia="es-MX"/>
      </w:rPr>
      <w:t>/INFOEM/IP/RR/2018</w:t>
    </w:r>
    <w:r w:rsidR="000903EB">
      <w:rPr>
        <w:rFonts w:ascii="Palatino Linotype" w:hAnsi="Palatino Linotype" w:cs="Arial"/>
        <w:b/>
        <w:bCs/>
        <w:sz w:val="24"/>
        <w:szCs w:val="24"/>
        <w:lang w:eastAsia="es-MX"/>
      </w:rPr>
      <w:t xml:space="preserve"> y acumulados</w:t>
    </w:r>
  </w:p>
  <w:p w:rsidR="00721ACC" w:rsidRPr="00721ACC" w:rsidRDefault="00721ACC" w:rsidP="00721ACC">
    <w:pPr>
      <w:pStyle w:val="Encabezado"/>
      <w:tabs>
        <w:tab w:val="left" w:pos="838"/>
      </w:tabs>
      <w:rPr>
        <w:rFonts w:ascii="Palatino Linotype" w:hAnsi="Palatino Linotype" w:cs="Arial"/>
        <w:b/>
        <w:bCs/>
        <w:sz w:val="24"/>
        <w:szCs w:val="24"/>
        <w:lang w:eastAsia="es-MX"/>
      </w:rPr>
    </w:pPr>
    <w:r>
      <w:rPr>
        <w:rFonts w:ascii="Palatino Linotype" w:hAnsi="Palatino Linotype" w:cs="Arial"/>
        <w:b/>
        <w:bCs/>
        <w:sz w:val="24"/>
        <w:szCs w:val="24"/>
        <w:lang w:eastAsia="es-MX"/>
      </w:rPr>
      <w:tab/>
    </w:r>
    <w:r>
      <w:rPr>
        <w:rFonts w:ascii="Palatino Linotype" w:hAnsi="Palatino Linotype" w:cs="Arial"/>
        <w:b/>
        <w:bCs/>
        <w:sz w:val="24"/>
        <w:szCs w:val="24"/>
        <w:lang w:eastAsia="es-MX"/>
      </w:rPr>
      <w:tab/>
    </w:r>
    <w:r w:rsidR="006953D2">
      <w:rPr>
        <w:rFonts w:ascii="Palatino Linotype" w:hAnsi="Palatino Linotype" w:cs="Arial"/>
        <w:b/>
        <w:bCs/>
        <w:sz w:val="24"/>
        <w:szCs w:val="24"/>
        <w:lang w:eastAsia="es-MX"/>
      </w:rPr>
      <w:tab/>
    </w:r>
    <w:r w:rsidR="006953D2">
      <w:rPr>
        <w:rFonts w:ascii="Palatino Linotype" w:hAnsi="Palatino Linotype" w:cs="Arial"/>
        <w:b/>
        <w:bCs/>
        <w:sz w:val="24"/>
        <w:szCs w:val="24"/>
        <w:lang w:eastAsia="es-MX"/>
      </w:rPr>
      <w:tab/>
    </w:r>
    <w:r w:rsidR="006953D2">
      <w:rPr>
        <w:rFonts w:ascii="Palatino Linotype" w:hAnsi="Palatino Linotype" w:cs="Arial"/>
        <w:b/>
        <w:bCs/>
        <w:sz w:val="24"/>
        <w:szCs w:val="24"/>
        <w:lang w:eastAsia="es-MX"/>
      </w:rPr>
      <w:tab/>
    </w:r>
    <w:r w:rsidR="006953D2">
      <w:rPr>
        <w:rFonts w:ascii="Palatino Linotype" w:hAnsi="Palatino Linotype" w:cs="Arial"/>
        <w:b/>
        <w:bCs/>
        <w:sz w:val="24"/>
        <w:szCs w:val="24"/>
        <w:lang w:eastAsia="es-MX"/>
      </w:rPr>
      <w:tab/>
    </w:r>
    <w:r>
      <w:rPr>
        <w:rFonts w:ascii="Palatino Linotype" w:hAnsi="Palatino Linotype" w:cs="Arial"/>
        <w:b/>
        <w:bCs/>
        <w:sz w:val="24"/>
        <w:szCs w:val="24"/>
        <w:lang w:eastAsia="es-MX"/>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D7"/>
    <w:rsid w:val="000903EB"/>
    <w:rsid w:val="00135DC4"/>
    <w:rsid w:val="00194EE2"/>
    <w:rsid w:val="001B7A07"/>
    <w:rsid w:val="002B2DF8"/>
    <w:rsid w:val="003C48D3"/>
    <w:rsid w:val="00400B0C"/>
    <w:rsid w:val="00422926"/>
    <w:rsid w:val="004B4131"/>
    <w:rsid w:val="004F4CEE"/>
    <w:rsid w:val="00522BAB"/>
    <w:rsid w:val="00534129"/>
    <w:rsid w:val="00632BD1"/>
    <w:rsid w:val="006953D2"/>
    <w:rsid w:val="006B2E3F"/>
    <w:rsid w:val="006C13C2"/>
    <w:rsid w:val="006D2CB7"/>
    <w:rsid w:val="00721ACC"/>
    <w:rsid w:val="00883C34"/>
    <w:rsid w:val="00934DD5"/>
    <w:rsid w:val="0098155D"/>
    <w:rsid w:val="009A448E"/>
    <w:rsid w:val="009B1971"/>
    <w:rsid w:val="009B6F72"/>
    <w:rsid w:val="00A21967"/>
    <w:rsid w:val="00A35CD7"/>
    <w:rsid w:val="00A55330"/>
    <w:rsid w:val="00AE38E6"/>
    <w:rsid w:val="00B7621A"/>
    <w:rsid w:val="00B76DE1"/>
    <w:rsid w:val="00C304C5"/>
    <w:rsid w:val="00CB7A57"/>
    <w:rsid w:val="00CE19E5"/>
    <w:rsid w:val="00D60F77"/>
    <w:rsid w:val="00D71E61"/>
    <w:rsid w:val="00DB180A"/>
    <w:rsid w:val="00E23F48"/>
    <w:rsid w:val="00F16C65"/>
    <w:rsid w:val="00F224E4"/>
    <w:rsid w:val="00F53D42"/>
    <w:rsid w:val="00F62F00"/>
    <w:rsid w:val="00F931AC"/>
    <w:rsid w:val="00FC4B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085BD3-8764-4F7A-9867-B7278507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5C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CD7"/>
  </w:style>
  <w:style w:type="paragraph" w:styleId="Piedepgina">
    <w:name w:val="footer"/>
    <w:basedOn w:val="Normal"/>
    <w:link w:val="PiedepginaCar"/>
    <w:uiPriority w:val="99"/>
    <w:unhideWhenUsed/>
    <w:rsid w:val="00A35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CD7"/>
  </w:style>
  <w:style w:type="paragraph" w:styleId="NormalWeb">
    <w:name w:val="Normal (Web)"/>
    <w:basedOn w:val="Normal"/>
    <w:uiPriority w:val="99"/>
    <w:semiHidden/>
    <w:unhideWhenUsed/>
    <w:rsid w:val="00A35CD7"/>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A35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F4C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4CEE"/>
    <w:rPr>
      <w:rFonts w:ascii="Segoe UI" w:hAnsi="Segoe UI" w:cs="Segoe UI"/>
      <w:sz w:val="18"/>
      <w:szCs w:val="18"/>
    </w:rPr>
  </w:style>
  <w:style w:type="character" w:styleId="Hipervnculo">
    <w:name w:val="Hyperlink"/>
    <w:basedOn w:val="Fuentedeprrafopredeter"/>
    <w:uiPriority w:val="99"/>
    <w:unhideWhenUsed/>
    <w:rsid w:val="00A21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635121">
      <w:bodyDiv w:val="1"/>
      <w:marLeft w:val="0"/>
      <w:marRight w:val="0"/>
      <w:marTop w:val="0"/>
      <w:marBottom w:val="0"/>
      <w:divBdr>
        <w:top w:val="none" w:sz="0" w:space="0" w:color="auto"/>
        <w:left w:val="none" w:sz="0" w:space="0" w:color="auto"/>
        <w:bottom w:val="none" w:sz="0" w:space="0" w:color="auto"/>
        <w:right w:val="none" w:sz="0" w:space="0" w:color="auto"/>
      </w:divBdr>
    </w:div>
    <w:div w:id="11318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8C01-BE72-4070-B236-B9488AEE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1937</Words>
  <Characters>10656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2018-08-27T16:22:00Z</cp:lastPrinted>
  <dcterms:created xsi:type="dcterms:W3CDTF">2018-10-16T01:03:00Z</dcterms:created>
  <dcterms:modified xsi:type="dcterms:W3CDTF">2018-10-16T01:03:00Z</dcterms:modified>
</cp:coreProperties>
</file>